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E92" w:rsidRPr="00924829" w:rsidRDefault="00873E92" w:rsidP="00873E92">
      <w:pPr>
        <w:rPr>
          <w:rFonts w:cstheme="majorHAnsi"/>
          <w:b/>
          <w:bCs/>
          <w:color w:val="000000"/>
          <w:sz w:val="22"/>
          <w:szCs w:val="22"/>
          <w:shd w:val="clear" w:color="auto" w:fill="FFFFFF"/>
        </w:rPr>
      </w:pPr>
    </w:p>
    <w:p w:rsidR="00873E92" w:rsidRPr="00924829" w:rsidRDefault="00873E92" w:rsidP="00873E92">
      <w:pPr>
        <w:rPr>
          <w:rFonts w:cstheme="majorHAnsi"/>
          <w:b/>
          <w:bCs/>
          <w:color w:val="000000"/>
          <w:sz w:val="28"/>
          <w:szCs w:val="28"/>
          <w:shd w:val="clear" w:color="auto" w:fill="FFFFFF"/>
        </w:rPr>
      </w:pPr>
      <w:r w:rsidRPr="00924829">
        <w:rPr>
          <w:rFonts w:cstheme="majorHAnsi"/>
          <w:b/>
          <w:bCs/>
          <w:color w:val="000000"/>
          <w:sz w:val="28"/>
          <w:szCs w:val="28"/>
          <w:shd w:val="clear" w:color="auto" w:fill="FFFFFF"/>
        </w:rPr>
        <w:t>2018 Access to Medicine Index finds clear signs that pharma</w:t>
      </w:r>
      <w:r>
        <w:rPr>
          <w:rFonts w:cstheme="majorHAnsi"/>
          <w:b/>
          <w:bCs/>
          <w:color w:val="000000"/>
          <w:sz w:val="28"/>
          <w:szCs w:val="28"/>
          <w:shd w:val="clear" w:color="auto" w:fill="FFFFFF"/>
        </w:rPr>
        <w:t>ceutical</w:t>
      </w:r>
      <w:r w:rsidRPr="00924829">
        <w:rPr>
          <w:rFonts w:cstheme="majorHAnsi"/>
          <w:b/>
          <w:bCs/>
          <w:color w:val="000000"/>
          <w:sz w:val="28"/>
          <w:szCs w:val="28"/>
          <w:shd w:val="clear" w:color="auto" w:fill="FFFFFF"/>
        </w:rPr>
        <w:t xml:space="preserve"> companies are deepening their strategic focus on Africa</w:t>
      </w:r>
    </w:p>
    <w:p w:rsidR="00873E92" w:rsidRPr="00924829" w:rsidRDefault="00873E92" w:rsidP="00873E92">
      <w:pPr>
        <w:rPr>
          <w:rFonts w:cstheme="majorHAnsi"/>
          <w:b/>
          <w:bCs/>
          <w:color w:val="000000"/>
          <w:sz w:val="22"/>
          <w:szCs w:val="22"/>
          <w:shd w:val="clear" w:color="auto" w:fill="FFFFFF"/>
        </w:rPr>
      </w:pPr>
    </w:p>
    <w:p w:rsidR="00873E92" w:rsidRPr="00924829" w:rsidRDefault="00873E92" w:rsidP="00873E92">
      <w:pPr>
        <w:rPr>
          <w:rFonts w:cstheme="majorHAnsi"/>
          <w:b/>
          <w:bCs/>
          <w:color w:val="000000"/>
          <w:sz w:val="22"/>
          <w:szCs w:val="22"/>
          <w:shd w:val="clear" w:color="auto" w:fill="FFFFFF"/>
        </w:rPr>
      </w:pPr>
      <w:r>
        <w:rPr>
          <w:rFonts w:cstheme="majorHAnsi"/>
          <w:b/>
          <w:bCs/>
          <w:color w:val="000000"/>
          <w:sz w:val="22"/>
          <w:szCs w:val="22"/>
          <w:shd w:val="clear" w:color="auto" w:fill="FFFFFF"/>
        </w:rPr>
        <w:t xml:space="preserve">Amsterdam the Netherlands, </w:t>
      </w:r>
      <w:r w:rsidRPr="00924829">
        <w:rPr>
          <w:rFonts w:cstheme="majorHAnsi"/>
          <w:b/>
          <w:bCs/>
          <w:color w:val="000000"/>
          <w:sz w:val="22"/>
          <w:szCs w:val="22"/>
          <w:shd w:val="clear" w:color="auto" w:fill="FFFFFF"/>
        </w:rPr>
        <w:t>2</w:t>
      </w:r>
      <w:r>
        <w:rPr>
          <w:rFonts w:cstheme="majorHAnsi"/>
          <w:b/>
          <w:bCs/>
          <w:color w:val="000000"/>
          <w:sz w:val="22"/>
          <w:szCs w:val="22"/>
          <w:shd w:val="clear" w:color="auto" w:fill="FFFFFF"/>
        </w:rPr>
        <w:t>9</w:t>
      </w:r>
      <w:r w:rsidRPr="00924829">
        <w:rPr>
          <w:rFonts w:cstheme="majorHAnsi"/>
          <w:b/>
          <w:bCs/>
          <w:color w:val="000000"/>
          <w:sz w:val="22"/>
          <w:szCs w:val="22"/>
          <w:shd w:val="clear" w:color="auto" w:fill="FFFFFF"/>
        </w:rPr>
        <w:t xml:space="preserve"> November – The new Access to Medicine Index notes increasing interest from multinational pharmaceutical companies in doing business in Afric</w:t>
      </w:r>
      <w:bookmarkStart w:id="0" w:name="_GoBack"/>
      <w:bookmarkEnd w:id="0"/>
      <w:r w:rsidRPr="00924829">
        <w:rPr>
          <w:rFonts w:cstheme="majorHAnsi"/>
          <w:b/>
          <w:bCs/>
          <w:color w:val="000000"/>
          <w:sz w:val="22"/>
          <w:szCs w:val="22"/>
          <w:shd w:val="clear" w:color="auto" w:fill="FFFFFF"/>
        </w:rPr>
        <w:t>a that benefits people on lower incomes. However, the 2018 Index also finds important gaps in where pharmaceutical companies are registering new products on the African continent.</w:t>
      </w:r>
    </w:p>
    <w:p w:rsidR="00873E92" w:rsidRPr="00924829" w:rsidRDefault="00873E92" w:rsidP="00873E92">
      <w:pPr>
        <w:rPr>
          <w:rFonts w:cstheme="majorHAnsi"/>
          <w:bCs/>
          <w:color w:val="000000"/>
          <w:sz w:val="22"/>
          <w:szCs w:val="22"/>
          <w:shd w:val="clear" w:color="auto" w:fill="FFFFFF"/>
        </w:rPr>
      </w:pPr>
    </w:p>
    <w:p w:rsidR="00873E92" w:rsidRPr="00924829" w:rsidRDefault="00873E92" w:rsidP="00873E92">
      <w:pPr>
        <w:rPr>
          <w:rFonts w:cstheme="majorHAnsi"/>
          <w:bCs/>
          <w:color w:val="000000"/>
          <w:sz w:val="22"/>
          <w:szCs w:val="22"/>
          <w:shd w:val="clear" w:color="auto" w:fill="FFFFFF"/>
        </w:rPr>
      </w:pPr>
      <w:r w:rsidRPr="00924829">
        <w:rPr>
          <w:rFonts w:cstheme="majorHAnsi"/>
          <w:bCs/>
          <w:color w:val="000000"/>
          <w:sz w:val="22"/>
          <w:szCs w:val="22"/>
          <w:shd w:val="clear" w:color="auto" w:fill="FFFFFF"/>
        </w:rPr>
        <w:t xml:space="preserve">The Access to Medicine Index ranks 20 of the world’s largest research-based pharmaceutical companies on how they are improving access to medicine in low- and middle-income countries. In 2018, the Index reports that </w:t>
      </w:r>
      <w:r>
        <w:rPr>
          <w:rFonts w:cstheme="majorHAnsi"/>
          <w:bCs/>
          <w:color w:val="000000"/>
          <w:sz w:val="22"/>
          <w:szCs w:val="22"/>
          <w:shd w:val="clear" w:color="auto" w:fill="FFFFFF"/>
        </w:rPr>
        <w:t>four</w:t>
      </w:r>
      <w:r w:rsidRPr="00924829">
        <w:rPr>
          <w:rFonts w:cstheme="majorHAnsi"/>
          <w:bCs/>
          <w:color w:val="000000"/>
          <w:sz w:val="22"/>
          <w:szCs w:val="22"/>
          <w:shd w:val="clear" w:color="auto" w:fill="FFFFFF"/>
        </w:rPr>
        <w:t xml:space="preserve"> of these companies are implementing or expanding commercial models in Africa that serve people on very low incomes. Several of these models focus on products for heart disease, diabetes and other </w:t>
      </w:r>
      <w:r>
        <w:rPr>
          <w:rFonts w:cstheme="majorHAnsi"/>
          <w:bCs/>
          <w:color w:val="000000"/>
          <w:sz w:val="22"/>
          <w:szCs w:val="22"/>
          <w:shd w:val="clear" w:color="auto" w:fill="FFFFFF"/>
        </w:rPr>
        <w:t>non-communicable</w:t>
      </w:r>
      <w:r w:rsidRPr="00924829">
        <w:rPr>
          <w:rFonts w:cstheme="majorHAnsi"/>
          <w:bCs/>
          <w:color w:val="000000"/>
          <w:sz w:val="22"/>
          <w:szCs w:val="22"/>
          <w:shd w:val="clear" w:color="auto" w:fill="FFFFFF"/>
        </w:rPr>
        <w:t xml:space="preserve"> diseases, which are on the rise globally.</w:t>
      </w:r>
    </w:p>
    <w:p w:rsidR="00873E92" w:rsidRPr="00924829" w:rsidRDefault="00873E92" w:rsidP="00873E92">
      <w:pPr>
        <w:rPr>
          <w:rFonts w:cstheme="majorHAnsi"/>
          <w:bCs/>
          <w:color w:val="000000"/>
          <w:sz w:val="22"/>
          <w:szCs w:val="22"/>
          <w:shd w:val="clear" w:color="auto" w:fill="FFFFFF"/>
        </w:rPr>
      </w:pPr>
    </w:p>
    <w:p w:rsidR="00873E92" w:rsidRPr="00924829" w:rsidRDefault="00873E92" w:rsidP="00873E92">
      <w:pPr>
        <w:pStyle w:val="ListParagraph"/>
        <w:numPr>
          <w:ilvl w:val="0"/>
          <w:numId w:val="1"/>
        </w:numPr>
        <w:rPr>
          <w:rFonts w:asciiTheme="majorHAnsi" w:eastAsia="Times New Roman" w:hAnsiTheme="majorHAnsi" w:cstheme="majorHAnsi"/>
          <w:bCs/>
          <w:color w:val="000000"/>
          <w:sz w:val="22"/>
          <w:szCs w:val="22"/>
          <w:shd w:val="clear" w:color="auto" w:fill="FFFFFF"/>
          <w:lang w:val="en-GB"/>
        </w:rPr>
      </w:pPr>
      <w:r w:rsidRPr="00924829">
        <w:rPr>
          <w:rFonts w:asciiTheme="majorHAnsi" w:eastAsia="Times New Roman" w:hAnsiTheme="majorHAnsi" w:cstheme="majorHAnsi"/>
          <w:b/>
          <w:bCs/>
          <w:color w:val="000000"/>
          <w:sz w:val="22"/>
          <w:szCs w:val="22"/>
          <w:shd w:val="clear" w:color="auto" w:fill="FFFFFF"/>
          <w:lang w:val="en-GB"/>
        </w:rPr>
        <w:t>In Ghana, Novartis</w:t>
      </w:r>
      <w:r w:rsidRPr="00924829">
        <w:rPr>
          <w:rFonts w:asciiTheme="majorHAnsi" w:eastAsia="Times New Roman" w:hAnsiTheme="majorHAnsi" w:cstheme="majorHAnsi"/>
          <w:bCs/>
          <w:color w:val="000000"/>
          <w:sz w:val="22"/>
          <w:szCs w:val="22"/>
          <w:shd w:val="clear" w:color="auto" w:fill="FFFFFF"/>
          <w:lang w:val="en-GB"/>
        </w:rPr>
        <w:t xml:space="preserve"> is working with local private medicinal shops to make blood pressure screening more convenient and to dispense medicines from within the community. High blood pressure (hypertension) is a major risk factor for heart disease and affects up to 36% of adults in Ghana, where long and costly journeys often prevent people seeking the healthcare they need.</w:t>
      </w:r>
    </w:p>
    <w:p w:rsidR="00873E92" w:rsidRPr="00924829" w:rsidRDefault="00873E92" w:rsidP="00873E92">
      <w:pPr>
        <w:pStyle w:val="ListParagraph"/>
        <w:numPr>
          <w:ilvl w:val="0"/>
          <w:numId w:val="1"/>
        </w:numPr>
        <w:rPr>
          <w:rFonts w:asciiTheme="majorHAnsi" w:eastAsia="Times New Roman" w:hAnsiTheme="majorHAnsi" w:cstheme="majorHAnsi"/>
          <w:bCs/>
          <w:color w:val="000000"/>
          <w:sz w:val="22"/>
          <w:szCs w:val="22"/>
          <w:shd w:val="clear" w:color="auto" w:fill="FFFFFF"/>
          <w:lang w:val="en-GB"/>
        </w:rPr>
      </w:pPr>
      <w:r w:rsidRPr="00924829">
        <w:rPr>
          <w:rFonts w:asciiTheme="majorHAnsi" w:eastAsia="Times New Roman" w:hAnsiTheme="majorHAnsi" w:cstheme="majorHAnsi"/>
          <w:b/>
          <w:bCs/>
          <w:color w:val="000000"/>
          <w:sz w:val="22"/>
          <w:szCs w:val="22"/>
          <w:shd w:val="clear" w:color="auto" w:fill="FFFFFF"/>
          <w:lang w:val="en-GB"/>
        </w:rPr>
        <w:t xml:space="preserve">In Kenya, Merck </w:t>
      </w:r>
      <w:proofErr w:type="spellStart"/>
      <w:r w:rsidRPr="00924829">
        <w:rPr>
          <w:rFonts w:asciiTheme="majorHAnsi" w:eastAsia="Times New Roman" w:hAnsiTheme="majorHAnsi" w:cstheme="majorHAnsi"/>
          <w:b/>
          <w:bCs/>
          <w:color w:val="000000"/>
          <w:sz w:val="22"/>
          <w:szCs w:val="22"/>
          <w:shd w:val="clear" w:color="auto" w:fill="FFFFFF"/>
          <w:lang w:val="en-GB"/>
        </w:rPr>
        <w:t>KGaA</w:t>
      </w:r>
      <w:proofErr w:type="spellEnd"/>
      <w:r w:rsidRPr="00924829">
        <w:rPr>
          <w:rFonts w:asciiTheme="majorHAnsi" w:eastAsia="Times New Roman" w:hAnsiTheme="majorHAnsi" w:cstheme="majorHAnsi"/>
          <w:b/>
          <w:bCs/>
          <w:color w:val="000000"/>
          <w:sz w:val="22"/>
          <w:szCs w:val="22"/>
          <w:shd w:val="clear" w:color="auto" w:fill="FFFFFF"/>
          <w:lang w:val="en-GB"/>
        </w:rPr>
        <w:t xml:space="preserve"> </w:t>
      </w:r>
      <w:r w:rsidRPr="00924829">
        <w:rPr>
          <w:rFonts w:asciiTheme="majorHAnsi" w:eastAsia="Times New Roman" w:hAnsiTheme="majorHAnsi" w:cstheme="majorHAnsi"/>
          <w:bCs/>
          <w:color w:val="000000"/>
          <w:sz w:val="22"/>
          <w:szCs w:val="22"/>
          <w:shd w:val="clear" w:color="auto" w:fill="FFFFFF"/>
          <w:lang w:val="en-GB"/>
        </w:rPr>
        <w:t xml:space="preserve">is expanding its initiative to set up local healthcare </w:t>
      </w:r>
      <w:r w:rsidR="006A054F" w:rsidRPr="00924829">
        <w:rPr>
          <w:rFonts w:asciiTheme="majorHAnsi" w:eastAsia="Times New Roman" w:hAnsiTheme="majorHAnsi" w:cstheme="majorHAnsi"/>
          <w:bCs/>
          <w:color w:val="000000"/>
          <w:sz w:val="22"/>
          <w:szCs w:val="22"/>
          <w:shd w:val="clear" w:color="auto" w:fill="FFFFFF"/>
          <w:lang w:val="en-GB"/>
        </w:rPr>
        <w:t>centres</w:t>
      </w:r>
      <w:r w:rsidRPr="00924829">
        <w:rPr>
          <w:rFonts w:asciiTheme="majorHAnsi" w:eastAsia="Times New Roman" w:hAnsiTheme="majorHAnsi" w:cstheme="majorHAnsi"/>
          <w:bCs/>
          <w:color w:val="000000"/>
          <w:sz w:val="22"/>
          <w:szCs w:val="22"/>
          <w:shd w:val="clear" w:color="auto" w:fill="FFFFFF"/>
          <w:lang w:val="en-GB"/>
        </w:rPr>
        <w:t xml:space="preserve">. It is now running in the counties of </w:t>
      </w:r>
      <w:proofErr w:type="spellStart"/>
      <w:r w:rsidRPr="00924829">
        <w:rPr>
          <w:rFonts w:asciiTheme="majorHAnsi" w:eastAsia="Times New Roman" w:hAnsiTheme="majorHAnsi" w:cstheme="majorHAnsi"/>
          <w:bCs/>
          <w:color w:val="000000"/>
          <w:sz w:val="22"/>
          <w:szCs w:val="22"/>
          <w:shd w:val="clear" w:color="auto" w:fill="FFFFFF"/>
          <w:lang w:val="en-GB"/>
        </w:rPr>
        <w:t>Kiambu</w:t>
      </w:r>
      <w:proofErr w:type="spellEnd"/>
      <w:r w:rsidRPr="00924829">
        <w:rPr>
          <w:rFonts w:asciiTheme="majorHAnsi" w:eastAsia="Times New Roman" w:hAnsiTheme="majorHAnsi" w:cstheme="majorHAnsi"/>
          <w:bCs/>
          <w:color w:val="000000"/>
          <w:sz w:val="22"/>
          <w:szCs w:val="22"/>
          <w:shd w:val="clear" w:color="auto" w:fill="FFFFFF"/>
          <w:lang w:val="en-GB"/>
        </w:rPr>
        <w:t xml:space="preserve">, </w:t>
      </w:r>
      <w:proofErr w:type="spellStart"/>
      <w:r w:rsidRPr="00924829">
        <w:rPr>
          <w:rFonts w:asciiTheme="majorHAnsi" w:eastAsia="Times New Roman" w:hAnsiTheme="majorHAnsi" w:cstheme="majorHAnsi"/>
          <w:bCs/>
          <w:color w:val="000000"/>
          <w:sz w:val="22"/>
          <w:szCs w:val="22"/>
          <w:shd w:val="clear" w:color="auto" w:fill="FFFFFF"/>
          <w:lang w:val="en-GB"/>
        </w:rPr>
        <w:t>Kajiado</w:t>
      </w:r>
      <w:proofErr w:type="spellEnd"/>
      <w:r w:rsidRPr="00924829">
        <w:rPr>
          <w:rFonts w:asciiTheme="majorHAnsi" w:eastAsia="Times New Roman" w:hAnsiTheme="majorHAnsi" w:cstheme="majorHAnsi"/>
          <w:bCs/>
          <w:color w:val="000000"/>
          <w:sz w:val="22"/>
          <w:szCs w:val="22"/>
          <w:shd w:val="clear" w:color="auto" w:fill="FFFFFF"/>
          <w:lang w:val="en-GB"/>
        </w:rPr>
        <w:t xml:space="preserve">, </w:t>
      </w:r>
      <w:proofErr w:type="spellStart"/>
      <w:r w:rsidRPr="00924829">
        <w:rPr>
          <w:rFonts w:asciiTheme="majorHAnsi" w:eastAsia="Times New Roman" w:hAnsiTheme="majorHAnsi" w:cstheme="majorHAnsi"/>
          <w:bCs/>
          <w:color w:val="000000"/>
          <w:sz w:val="22"/>
          <w:szCs w:val="22"/>
          <w:shd w:val="clear" w:color="auto" w:fill="FFFFFF"/>
          <w:lang w:val="en-GB"/>
        </w:rPr>
        <w:t>Machakos</w:t>
      </w:r>
      <w:proofErr w:type="spellEnd"/>
      <w:r w:rsidRPr="00924829">
        <w:rPr>
          <w:rFonts w:asciiTheme="majorHAnsi" w:eastAsia="Times New Roman" w:hAnsiTheme="majorHAnsi" w:cstheme="majorHAnsi"/>
          <w:bCs/>
          <w:color w:val="000000"/>
          <w:sz w:val="22"/>
          <w:szCs w:val="22"/>
          <w:shd w:val="clear" w:color="auto" w:fill="FFFFFF"/>
          <w:lang w:val="en-GB"/>
        </w:rPr>
        <w:t xml:space="preserve">, </w:t>
      </w:r>
      <w:proofErr w:type="spellStart"/>
      <w:r w:rsidRPr="00924829">
        <w:rPr>
          <w:rFonts w:asciiTheme="majorHAnsi" w:eastAsia="Times New Roman" w:hAnsiTheme="majorHAnsi" w:cstheme="majorHAnsi"/>
          <w:bCs/>
          <w:color w:val="000000"/>
          <w:sz w:val="22"/>
          <w:szCs w:val="22"/>
          <w:shd w:val="clear" w:color="auto" w:fill="FFFFFF"/>
          <w:lang w:val="en-GB"/>
        </w:rPr>
        <w:t>Makueni</w:t>
      </w:r>
      <w:proofErr w:type="spellEnd"/>
      <w:r w:rsidRPr="00924829">
        <w:rPr>
          <w:rFonts w:asciiTheme="majorHAnsi" w:eastAsia="Times New Roman" w:hAnsiTheme="majorHAnsi" w:cstheme="majorHAnsi"/>
          <w:bCs/>
          <w:color w:val="000000"/>
          <w:sz w:val="22"/>
          <w:szCs w:val="22"/>
          <w:shd w:val="clear" w:color="auto" w:fill="FFFFFF"/>
          <w:lang w:val="en-GB"/>
        </w:rPr>
        <w:t xml:space="preserve"> and Mombasa. These </w:t>
      </w:r>
      <w:r w:rsidR="006A054F" w:rsidRPr="00924829">
        <w:rPr>
          <w:rFonts w:asciiTheme="majorHAnsi" w:eastAsia="Times New Roman" w:hAnsiTheme="majorHAnsi" w:cstheme="majorHAnsi"/>
          <w:bCs/>
          <w:color w:val="000000"/>
          <w:sz w:val="22"/>
          <w:szCs w:val="22"/>
          <w:shd w:val="clear" w:color="auto" w:fill="FFFFFF"/>
          <w:lang w:val="en-GB"/>
        </w:rPr>
        <w:t>centres</w:t>
      </w:r>
      <w:r w:rsidRPr="00924829">
        <w:rPr>
          <w:rFonts w:asciiTheme="majorHAnsi" w:eastAsia="Times New Roman" w:hAnsiTheme="majorHAnsi" w:cstheme="majorHAnsi"/>
          <w:bCs/>
          <w:color w:val="000000"/>
          <w:sz w:val="22"/>
          <w:szCs w:val="22"/>
          <w:shd w:val="clear" w:color="auto" w:fill="FFFFFF"/>
          <w:lang w:val="en-GB"/>
        </w:rPr>
        <w:t xml:space="preserve"> each provide pharmacy and nursing services, as well as insurance schemes and financing for healthcare.</w:t>
      </w:r>
    </w:p>
    <w:p w:rsidR="00873E92" w:rsidRPr="00924829" w:rsidRDefault="00873E92" w:rsidP="00873E92">
      <w:pPr>
        <w:pStyle w:val="ListParagraph"/>
        <w:numPr>
          <w:ilvl w:val="0"/>
          <w:numId w:val="1"/>
        </w:numPr>
        <w:rPr>
          <w:rFonts w:asciiTheme="majorHAnsi" w:eastAsia="Times New Roman" w:hAnsiTheme="majorHAnsi" w:cstheme="majorHAnsi"/>
          <w:bCs/>
          <w:color w:val="000000"/>
          <w:sz w:val="22"/>
          <w:szCs w:val="22"/>
          <w:shd w:val="clear" w:color="auto" w:fill="FFFFFF"/>
          <w:lang w:val="en-GB"/>
        </w:rPr>
      </w:pPr>
      <w:r w:rsidRPr="00924829">
        <w:rPr>
          <w:rFonts w:asciiTheme="majorHAnsi" w:eastAsia="Times New Roman" w:hAnsiTheme="majorHAnsi" w:cstheme="majorHAnsi"/>
          <w:b/>
          <w:bCs/>
          <w:color w:val="000000"/>
          <w:sz w:val="22"/>
          <w:szCs w:val="22"/>
          <w:shd w:val="clear" w:color="auto" w:fill="FFFFFF"/>
          <w:lang w:val="en-GB"/>
        </w:rPr>
        <w:t xml:space="preserve">In Zambia, GSK </w:t>
      </w:r>
      <w:r w:rsidRPr="00924829">
        <w:rPr>
          <w:rFonts w:asciiTheme="majorHAnsi" w:eastAsia="Times New Roman" w:hAnsiTheme="majorHAnsi" w:cstheme="majorHAnsi"/>
          <w:bCs/>
          <w:color w:val="000000"/>
          <w:sz w:val="22"/>
          <w:szCs w:val="22"/>
          <w:shd w:val="clear" w:color="auto" w:fill="FFFFFF"/>
          <w:lang w:val="en-GB"/>
        </w:rPr>
        <w:t>is training local people as entrepreneurs who can provide affordable health products to their communities, supported by lower interest loans provided savings are passed on. These entrepreneurs sell oral health, pain control, contraceptive and other health-related products, together with goods such as cooking stoves.</w:t>
      </w:r>
    </w:p>
    <w:p w:rsidR="00873E92" w:rsidRPr="00924829" w:rsidRDefault="00873E92" w:rsidP="00873E92">
      <w:pPr>
        <w:rPr>
          <w:rFonts w:cstheme="majorHAnsi"/>
          <w:bCs/>
          <w:color w:val="000000"/>
          <w:sz w:val="22"/>
          <w:szCs w:val="22"/>
          <w:shd w:val="clear" w:color="auto" w:fill="FFFFFF"/>
        </w:rPr>
      </w:pPr>
    </w:p>
    <w:p w:rsidR="00873E92" w:rsidRPr="00924829" w:rsidRDefault="00873E92" w:rsidP="00873E92">
      <w:pPr>
        <w:rPr>
          <w:rFonts w:cstheme="majorHAnsi"/>
          <w:bCs/>
          <w:color w:val="000000"/>
          <w:sz w:val="22"/>
          <w:szCs w:val="22"/>
          <w:shd w:val="clear" w:color="auto" w:fill="FFFFFF"/>
        </w:rPr>
      </w:pPr>
      <w:r w:rsidRPr="00924829">
        <w:rPr>
          <w:rFonts w:cstheme="majorHAnsi"/>
          <w:b/>
          <w:bCs/>
          <w:color w:val="000000"/>
          <w:sz w:val="22"/>
          <w:szCs w:val="22"/>
          <w:shd w:val="clear" w:color="auto" w:fill="FFFFFF"/>
        </w:rPr>
        <w:t>Capacity building to enable access</w:t>
      </w:r>
      <w:r w:rsidRPr="00924829">
        <w:rPr>
          <w:rFonts w:cstheme="majorHAnsi"/>
          <w:b/>
          <w:bCs/>
          <w:color w:val="000000"/>
          <w:sz w:val="22"/>
          <w:szCs w:val="22"/>
          <w:shd w:val="clear" w:color="auto" w:fill="FFFFFF"/>
        </w:rPr>
        <w:br/>
      </w:r>
      <w:r w:rsidRPr="00924829">
        <w:rPr>
          <w:rFonts w:cstheme="majorHAnsi"/>
          <w:bCs/>
          <w:color w:val="000000"/>
          <w:sz w:val="22"/>
          <w:szCs w:val="22"/>
          <w:shd w:val="clear" w:color="auto" w:fill="FFFFFF"/>
        </w:rPr>
        <w:t xml:space="preserve">The Index also reports that African countries are the focus of companies’ efforts to </w:t>
      </w:r>
      <w:r>
        <w:rPr>
          <w:rFonts w:cstheme="majorHAnsi"/>
          <w:bCs/>
          <w:color w:val="000000"/>
          <w:sz w:val="22"/>
          <w:szCs w:val="22"/>
          <w:shd w:val="clear" w:color="auto" w:fill="FFFFFF"/>
        </w:rPr>
        <w:t>support and build</w:t>
      </w:r>
      <w:r w:rsidRPr="00924829">
        <w:rPr>
          <w:rFonts w:cstheme="majorHAnsi"/>
          <w:bCs/>
          <w:color w:val="000000"/>
          <w:sz w:val="22"/>
          <w:szCs w:val="22"/>
          <w:shd w:val="clear" w:color="auto" w:fill="FFFFFF"/>
        </w:rPr>
        <w:t xml:space="preserve"> </w:t>
      </w:r>
      <w:r>
        <w:rPr>
          <w:rFonts w:cstheme="majorHAnsi"/>
          <w:bCs/>
          <w:color w:val="000000"/>
          <w:sz w:val="22"/>
          <w:szCs w:val="22"/>
          <w:shd w:val="clear" w:color="auto" w:fill="FFFFFF"/>
        </w:rPr>
        <w:t xml:space="preserve">the </w:t>
      </w:r>
      <w:r w:rsidRPr="00924829">
        <w:rPr>
          <w:rFonts w:cstheme="majorHAnsi"/>
          <w:bCs/>
          <w:color w:val="000000"/>
          <w:sz w:val="22"/>
          <w:szCs w:val="22"/>
          <w:shd w:val="clear" w:color="auto" w:fill="FFFFFF"/>
        </w:rPr>
        <w:t>capacit</w:t>
      </w:r>
      <w:r>
        <w:rPr>
          <w:rFonts w:cstheme="majorHAnsi"/>
          <w:bCs/>
          <w:color w:val="000000"/>
          <w:sz w:val="22"/>
          <w:szCs w:val="22"/>
          <w:shd w:val="clear" w:color="auto" w:fill="FFFFFF"/>
        </w:rPr>
        <w:t>y</w:t>
      </w:r>
      <w:r w:rsidRPr="00924829">
        <w:rPr>
          <w:rFonts w:cstheme="majorHAnsi"/>
          <w:bCs/>
          <w:color w:val="000000"/>
          <w:sz w:val="22"/>
          <w:szCs w:val="22"/>
          <w:shd w:val="clear" w:color="auto" w:fill="FFFFFF"/>
        </w:rPr>
        <w:t xml:space="preserve"> </w:t>
      </w:r>
      <w:r>
        <w:rPr>
          <w:rFonts w:cstheme="majorHAnsi"/>
          <w:bCs/>
          <w:color w:val="000000"/>
          <w:sz w:val="22"/>
          <w:szCs w:val="22"/>
          <w:shd w:val="clear" w:color="auto" w:fill="FFFFFF"/>
        </w:rPr>
        <w:t>of</w:t>
      </w:r>
      <w:r w:rsidRPr="00924829">
        <w:rPr>
          <w:rFonts w:cstheme="majorHAnsi"/>
          <w:bCs/>
          <w:color w:val="000000"/>
          <w:sz w:val="22"/>
          <w:szCs w:val="22"/>
          <w:shd w:val="clear" w:color="auto" w:fill="FFFFFF"/>
        </w:rPr>
        <w:t xml:space="preserve"> local healthcare systems and supply chains. These initiatives are diverse. As an example, Takeda works with the Kenyan Ministry of Health and other partners to ensure more people can access cancer care services. In Ghana, Merck </w:t>
      </w:r>
      <w:proofErr w:type="spellStart"/>
      <w:r w:rsidRPr="00924829">
        <w:rPr>
          <w:rFonts w:cstheme="majorHAnsi"/>
          <w:bCs/>
          <w:color w:val="000000"/>
          <w:sz w:val="22"/>
          <w:szCs w:val="22"/>
          <w:shd w:val="clear" w:color="auto" w:fill="FFFFFF"/>
        </w:rPr>
        <w:t>KGaA</w:t>
      </w:r>
      <w:proofErr w:type="spellEnd"/>
      <w:r w:rsidRPr="00924829">
        <w:rPr>
          <w:rFonts w:cstheme="majorHAnsi"/>
          <w:bCs/>
          <w:color w:val="000000"/>
          <w:sz w:val="22"/>
          <w:szCs w:val="22"/>
          <w:shd w:val="clear" w:color="auto" w:fill="FFFFFF"/>
        </w:rPr>
        <w:t xml:space="preserve"> is working with partners including the government to establish a new local vaccine manufacturing plant. Capacity building efforts are critical for advancing universal health coverage (UHC).</w:t>
      </w:r>
    </w:p>
    <w:p w:rsidR="00873E92" w:rsidRPr="00924829" w:rsidRDefault="00873E92" w:rsidP="00873E92">
      <w:pPr>
        <w:rPr>
          <w:rFonts w:cstheme="majorHAnsi"/>
          <w:bCs/>
          <w:color w:val="000000"/>
          <w:sz w:val="22"/>
          <w:szCs w:val="22"/>
          <w:shd w:val="clear" w:color="auto" w:fill="FFFFFF"/>
        </w:rPr>
      </w:pPr>
    </w:p>
    <w:p w:rsidR="00873E92" w:rsidRPr="00924829" w:rsidRDefault="00873E92" w:rsidP="00873E92">
      <w:pPr>
        <w:rPr>
          <w:rFonts w:cstheme="majorHAnsi"/>
          <w:bCs/>
          <w:i/>
          <w:color w:val="000000"/>
          <w:sz w:val="22"/>
          <w:szCs w:val="22"/>
          <w:shd w:val="clear" w:color="auto" w:fill="FFFFFF"/>
        </w:rPr>
      </w:pPr>
      <w:r w:rsidRPr="00924829">
        <w:rPr>
          <w:rFonts w:cstheme="majorHAnsi"/>
          <w:bCs/>
          <w:i/>
          <w:color w:val="000000"/>
          <w:sz w:val="22"/>
          <w:szCs w:val="22"/>
          <w:shd w:val="clear" w:color="auto" w:fill="FFFFFF"/>
        </w:rPr>
        <w:t xml:space="preserve">“The Index first noted pharmaceutical companies taking a strategic interest in Africa in 2014,” </w:t>
      </w:r>
      <w:r w:rsidRPr="00924829">
        <w:rPr>
          <w:rFonts w:cstheme="majorHAnsi"/>
          <w:bCs/>
          <w:color w:val="000000"/>
          <w:sz w:val="22"/>
          <w:szCs w:val="22"/>
          <w:shd w:val="clear" w:color="auto" w:fill="FFFFFF"/>
        </w:rPr>
        <w:t xml:space="preserve">says Gabrielle </w:t>
      </w:r>
      <w:proofErr w:type="spellStart"/>
      <w:r w:rsidRPr="00924829">
        <w:rPr>
          <w:rFonts w:cstheme="majorHAnsi"/>
          <w:bCs/>
          <w:color w:val="000000"/>
          <w:sz w:val="22"/>
          <w:szCs w:val="22"/>
          <w:shd w:val="clear" w:color="auto" w:fill="FFFFFF"/>
        </w:rPr>
        <w:t>Breugelmans</w:t>
      </w:r>
      <w:proofErr w:type="spellEnd"/>
      <w:r w:rsidRPr="00924829">
        <w:rPr>
          <w:rFonts w:cstheme="majorHAnsi"/>
          <w:bCs/>
          <w:color w:val="000000"/>
          <w:sz w:val="22"/>
          <w:szCs w:val="22"/>
          <w:shd w:val="clear" w:color="auto" w:fill="FFFFFF"/>
        </w:rPr>
        <w:t xml:space="preserve">, Director of Research at the Access to Medicine Foundation, which publishes the Index. </w:t>
      </w:r>
      <w:r w:rsidRPr="00924829">
        <w:rPr>
          <w:rFonts w:cstheme="majorHAnsi"/>
          <w:bCs/>
          <w:i/>
          <w:color w:val="000000"/>
          <w:sz w:val="22"/>
          <w:szCs w:val="22"/>
          <w:shd w:val="clear" w:color="auto" w:fill="FFFFFF"/>
        </w:rPr>
        <w:t>“Today, we, see signs that this interest is deepening. The next challenge to ensure the best ideas benefit the poorest people.”</w:t>
      </w:r>
    </w:p>
    <w:p w:rsidR="00873E92" w:rsidRPr="00924829" w:rsidRDefault="00873E92" w:rsidP="00873E92">
      <w:pPr>
        <w:rPr>
          <w:rFonts w:cstheme="majorHAnsi"/>
          <w:bCs/>
          <w:color w:val="000000"/>
          <w:sz w:val="22"/>
          <w:szCs w:val="22"/>
          <w:shd w:val="clear" w:color="auto" w:fill="FFFFFF"/>
        </w:rPr>
      </w:pPr>
    </w:p>
    <w:p w:rsidR="00873E92" w:rsidRPr="00924829" w:rsidRDefault="00873E92" w:rsidP="00873E92">
      <w:pPr>
        <w:rPr>
          <w:rFonts w:cstheme="majorHAnsi"/>
          <w:bCs/>
          <w:color w:val="000000"/>
          <w:sz w:val="22"/>
          <w:szCs w:val="22"/>
          <w:shd w:val="clear" w:color="auto" w:fill="FFFFFF"/>
        </w:rPr>
      </w:pPr>
      <w:r w:rsidRPr="00924829">
        <w:rPr>
          <w:rFonts w:cstheme="majorHAnsi"/>
          <w:bCs/>
          <w:color w:val="000000"/>
          <w:sz w:val="22"/>
          <w:szCs w:val="22"/>
          <w:shd w:val="clear" w:color="auto" w:fill="FFFFFF"/>
        </w:rPr>
        <w:t xml:space="preserve">Companies generally </w:t>
      </w:r>
      <w:r>
        <w:rPr>
          <w:rFonts w:cstheme="majorHAnsi"/>
          <w:bCs/>
          <w:color w:val="000000"/>
          <w:sz w:val="22"/>
          <w:szCs w:val="22"/>
          <w:shd w:val="clear" w:color="auto" w:fill="FFFFFF"/>
        </w:rPr>
        <w:t xml:space="preserve">first </w:t>
      </w:r>
      <w:r w:rsidRPr="00924829">
        <w:rPr>
          <w:rFonts w:cstheme="majorHAnsi"/>
          <w:bCs/>
          <w:color w:val="000000"/>
          <w:sz w:val="22"/>
          <w:szCs w:val="22"/>
          <w:shd w:val="clear" w:color="auto" w:fill="FFFFFF"/>
        </w:rPr>
        <w:t xml:space="preserve">invest in capacity building in markets where </w:t>
      </w:r>
      <w:r>
        <w:rPr>
          <w:rFonts w:cstheme="majorHAnsi"/>
          <w:bCs/>
          <w:color w:val="000000"/>
          <w:sz w:val="22"/>
          <w:szCs w:val="22"/>
          <w:shd w:val="clear" w:color="auto" w:fill="FFFFFF"/>
        </w:rPr>
        <w:t>there is</w:t>
      </w:r>
      <w:r w:rsidRPr="00924829">
        <w:rPr>
          <w:rFonts w:cstheme="majorHAnsi"/>
          <w:bCs/>
          <w:color w:val="000000"/>
          <w:sz w:val="22"/>
          <w:szCs w:val="22"/>
          <w:shd w:val="clear" w:color="auto" w:fill="FFFFFF"/>
        </w:rPr>
        <w:t xml:space="preserve"> commercial </w:t>
      </w:r>
      <w:r>
        <w:rPr>
          <w:rFonts w:cstheme="majorHAnsi"/>
          <w:bCs/>
          <w:color w:val="000000"/>
          <w:sz w:val="22"/>
          <w:szCs w:val="22"/>
          <w:shd w:val="clear" w:color="auto" w:fill="FFFFFF"/>
        </w:rPr>
        <w:t>potential.</w:t>
      </w:r>
      <w:r w:rsidRPr="00924829">
        <w:rPr>
          <w:rFonts w:cstheme="majorHAnsi"/>
          <w:bCs/>
          <w:color w:val="000000"/>
          <w:sz w:val="22"/>
          <w:szCs w:val="22"/>
          <w:shd w:val="clear" w:color="auto" w:fill="FFFFFF"/>
        </w:rPr>
        <w:t xml:space="preserve"> In the Index analysis, Kenya has the most capacity building initiatives, followed by South Africa and then China. Overall, the Index analysed 141 capacity building initiatives in African countries. The Index analysis only included initiatives that meet local needs for specific capacities and covers 50 of the 54 countries in Africa. Of these, 22 countries have no initiatives that qualified for analysis. </w:t>
      </w:r>
    </w:p>
    <w:p w:rsidR="00873E92" w:rsidRPr="00924829" w:rsidRDefault="00873E92" w:rsidP="00873E92">
      <w:pPr>
        <w:rPr>
          <w:rFonts w:cstheme="majorHAnsi"/>
          <w:bCs/>
          <w:color w:val="000000"/>
          <w:sz w:val="22"/>
          <w:szCs w:val="22"/>
          <w:shd w:val="clear" w:color="auto" w:fill="FFFFFF"/>
        </w:rPr>
      </w:pPr>
    </w:p>
    <w:p w:rsidR="00873E92" w:rsidRPr="00924829" w:rsidRDefault="00873E92" w:rsidP="00873E92">
      <w:pPr>
        <w:rPr>
          <w:rFonts w:cstheme="majorHAnsi"/>
          <w:bCs/>
          <w:color w:val="000000"/>
          <w:sz w:val="22"/>
          <w:szCs w:val="22"/>
          <w:shd w:val="clear" w:color="auto" w:fill="FFFFFF"/>
        </w:rPr>
      </w:pPr>
      <w:r w:rsidRPr="00924829">
        <w:rPr>
          <w:rFonts w:cstheme="majorHAnsi"/>
          <w:b/>
          <w:bCs/>
          <w:color w:val="000000"/>
          <w:sz w:val="22"/>
          <w:szCs w:val="22"/>
          <w:shd w:val="clear" w:color="auto" w:fill="FFFFFF"/>
        </w:rPr>
        <w:t>Important gaps: are products available?</w:t>
      </w:r>
      <w:r w:rsidRPr="00924829">
        <w:rPr>
          <w:rFonts w:cstheme="majorHAnsi"/>
          <w:b/>
          <w:bCs/>
          <w:color w:val="000000"/>
          <w:sz w:val="22"/>
          <w:szCs w:val="22"/>
          <w:shd w:val="clear" w:color="auto" w:fill="FFFFFF"/>
        </w:rPr>
        <w:br/>
      </w:r>
      <w:r w:rsidRPr="00924829">
        <w:rPr>
          <w:rFonts w:cstheme="majorHAnsi"/>
          <w:bCs/>
          <w:color w:val="000000"/>
          <w:sz w:val="22"/>
          <w:szCs w:val="22"/>
          <w:shd w:val="clear" w:color="auto" w:fill="FFFFFF"/>
        </w:rPr>
        <w:t xml:space="preserve">A medicine or vaccine can only be marketed in a country once it has been registered for sale. Yet the </w:t>
      </w:r>
      <w:r w:rsidRPr="00924829">
        <w:rPr>
          <w:rFonts w:cstheme="majorHAnsi"/>
          <w:bCs/>
          <w:color w:val="000000"/>
          <w:sz w:val="22"/>
          <w:szCs w:val="22"/>
          <w:shd w:val="clear" w:color="auto" w:fill="FFFFFF"/>
        </w:rPr>
        <w:lastRenderedPageBreak/>
        <w:t xml:space="preserve">Index finds </w:t>
      </w:r>
      <w:r w:rsidRPr="00924829">
        <w:rPr>
          <w:rFonts w:cstheme="majorHAnsi"/>
          <w:color w:val="000000"/>
          <w:sz w:val="22"/>
          <w:szCs w:val="22"/>
        </w:rPr>
        <w:t xml:space="preserve">important gaps in the registration of new innovative products in African countries. While some countries have seen new products being filed, such as Nigeria, Ethiopia, Uganda and Tanzania, there are 13 countries across Africa with no new product registrations identified by the Index, including Sudan, South Sudan, Angola and Somalia, which are together home to 150 million people. One factor that promises to improve this situation is the creation of the </w:t>
      </w:r>
      <w:r w:rsidRPr="00924829">
        <w:rPr>
          <w:rFonts w:cstheme="majorHAnsi"/>
          <w:bCs/>
          <w:color w:val="000000"/>
          <w:sz w:val="22"/>
          <w:szCs w:val="22"/>
          <w:shd w:val="clear" w:color="auto" w:fill="FFFFFF"/>
        </w:rPr>
        <w:t>new African Medicines Agency (AMA), which has been tasked with speeding up the registration process of pharmaceutical products across Africa.</w:t>
      </w:r>
    </w:p>
    <w:p w:rsidR="00873E92" w:rsidRPr="00924829" w:rsidRDefault="00873E92" w:rsidP="00873E92">
      <w:pPr>
        <w:rPr>
          <w:rFonts w:cstheme="majorHAnsi"/>
          <w:bCs/>
          <w:color w:val="000000"/>
          <w:sz w:val="22"/>
          <w:szCs w:val="22"/>
          <w:shd w:val="clear" w:color="auto" w:fill="FFFFFF"/>
        </w:rPr>
      </w:pPr>
    </w:p>
    <w:p w:rsidR="00873E92" w:rsidRPr="00924829" w:rsidRDefault="00873E92" w:rsidP="00873E92">
      <w:pPr>
        <w:rPr>
          <w:rFonts w:cstheme="majorHAnsi"/>
          <w:i/>
          <w:color w:val="000000"/>
          <w:sz w:val="22"/>
          <w:szCs w:val="22"/>
        </w:rPr>
      </w:pPr>
      <w:r w:rsidRPr="00924829">
        <w:rPr>
          <w:rFonts w:cstheme="majorHAnsi"/>
          <w:bCs/>
          <w:i/>
          <w:color w:val="000000"/>
          <w:sz w:val="22"/>
          <w:szCs w:val="22"/>
          <w:shd w:val="clear" w:color="auto" w:fill="FFFFFF"/>
        </w:rPr>
        <w:t>“Companies are deepening their focus and working with local partners – we see this as a good sign of long-term commitment to improving health,”</w:t>
      </w:r>
      <w:r w:rsidRPr="00924829">
        <w:rPr>
          <w:rFonts w:cstheme="majorHAnsi"/>
          <w:i/>
          <w:color w:val="000000"/>
          <w:sz w:val="22"/>
          <w:szCs w:val="22"/>
        </w:rPr>
        <w:t xml:space="preserve"> </w:t>
      </w:r>
      <w:r w:rsidRPr="00924829">
        <w:rPr>
          <w:rFonts w:cstheme="majorHAnsi"/>
          <w:color w:val="000000"/>
          <w:sz w:val="22"/>
          <w:szCs w:val="22"/>
        </w:rPr>
        <w:t xml:space="preserve">says Jayasree K. Iyer, Executive Director of the Access to Medicine Foundation. </w:t>
      </w:r>
      <w:r w:rsidRPr="00924829">
        <w:rPr>
          <w:rFonts w:cstheme="majorHAnsi"/>
          <w:i/>
          <w:color w:val="000000"/>
          <w:sz w:val="22"/>
          <w:szCs w:val="22"/>
        </w:rPr>
        <w:t>“To radically ramp up progress, more companies must stay engaged for the long haul.”</w:t>
      </w:r>
    </w:p>
    <w:p w:rsidR="00873E92" w:rsidRPr="00924829" w:rsidRDefault="00873E92" w:rsidP="00873E92">
      <w:pPr>
        <w:rPr>
          <w:rFonts w:cstheme="majorHAnsi"/>
          <w:bCs/>
          <w:color w:val="000000"/>
          <w:sz w:val="22"/>
          <w:szCs w:val="22"/>
          <w:shd w:val="clear" w:color="auto" w:fill="FFFFFF"/>
        </w:rPr>
      </w:pPr>
    </w:p>
    <w:p w:rsidR="00873E92" w:rsidRPr="00924829" w:rsidRDefault="00873E92" w:rsidP="00873E92">
      <w:pPr>
        <w:rPr>
          <w:rFonts w:cstheme="majorHAnsi"/>
          <w:b/>
          <w:sz w:val="22"/>
          <w:szCs w:val="22"/>
          <w:u w:val="single"/>
        </w:rPr>
      </w:pPr>
      <w:r w:rsidRPr="00924829">
        <w:rPr>
          <w:rFonts w:cstheme="majorHAnsi"/>
          <w:b/>
          <w:sz w:val="22"/>
          <w:szCs w:val="22"/>
          <w:u w:val="single"/>
        </w:rPr>
        <w:t>Note to editors</w:t>
      </w:r>
    </w:p>
    <w:p w:rsidR="00873E92" w:rsidRPr="00924829" w:rsidRDefault="00873E92" w:rsidP="00873E92">
      <w:pPr>
        <w:rPr>
          <w:rFonts w:cstheme="majorHAnsi"/>
          <w:sz w:val="22"/>
          <w:szCs w:val="22"/>
          <w:u w:val="single"/>
        </w:rPr>
      </w:pPr>
    </w:p>
    <w:p w:rsidR="00873E92" w:rsidRPr="00924829" w:rsidRDefault="00873E92" w:rsidP="00873E92">
      <w:pPr>
        <w:rPr>
          <w:rFonts w:cstheme="majorHAnsi"/>
          <w:color w:val="1A1A1A"/>
          <w:sz w:val="22"/>
          <w:szCs w:val="22"/>
        </w:rPr>
      </w:pPr>
      <w:r w:rsidRPr="00924829">
        <w:rPr>
          <w:rFonts w:cstheme="majorHAnsi"/>
          <w:b/>
          <w:bCs/>
          <w:color w:val="1A1A1A"/>
          <w:sz w:val="22"/>
          <w:szCs w:val="22"/>
        </w:rPr>
        <w:t>Media materials:</w:t>
      </w:r>
      <w:r w:rsidRPr="00924829">
        <w:rPr>
          <w:rFonts w:cstheme="majorHAnsi"/>
          <w:bCs/>
          <w:color w:val="1A1A1A"/>
          <w:sz w:val="22"/>
          <w:szCs w:val="22"/>
        </w:rPr>
        <w:t xml:space="preserve"> T</w:t>
      </w:r>
      <w:r w:rsidRPr="00924829">
        <w:rPr>
          <w:rFonts w:cstheme="majorHAnsi"/>
          <w:color w:val="1A1A1A"/>
          <w:sz w:val="22"/>
          <w:szCs w:val="22"/>
        </w:rPr>
        <w:t xml:space="preserve">he overall ranking, related data points, graphs and figures (e.g., from the Key Findings) in the report are available upon request.  </w:t>
      </w:r>
    </w:p>
    <w:p w:rsidR="00873E92" w:rsidRPr="00924829" w:rsidRDefault="00873E92" w:rsidP="00873E92">
      <w:pPr>
        <w:rPr>
          <w:rFonts w:cstheme="majorHAnsi"/>
          <w:color w:val="1A1A1A"/>
          <w:sz w:val="22"/>
          <w:szCs w:val="22"/>
        </w:rPr>
      </w:pPr>
    </w:p>
    <w:p w:rsidR="00873E92" w:rsidRPr="00924829" w:rsidRDefault="00873E92" w:rsidP="00873E92">
      <w:pPr>
        <w:widowControl w:val="0"/>
        <w:autoSpaceDE w:val="0"/>
        <w:autoSpaceDN w:val="0"/>
        <w:adjustRightInd w:val="0"/>
        <w:outlineLvl w:val="0"/>
        <w:rPr>
          <w:rFonts w:cstheme="majorHAnsi"/>
          <w:color w:val="535353"/>
          <w:sz w:val="22"/>
          <w:szCs w:val="22"/>
        </w:rPr>
      </w:pPr>
      <w:r w:rsidRPr="00924829">
        <w:rPr>
          <w:rFonts w:cstheme="majorHAnsi"/>
          <w:b/>
          <w:bCs/>
          <w:color w:val="1A1A1A"/>
          <w:sz w:val="22"/>
          <w:szCs w:val="22"/>
        </w:rPr>
        <w:t xml:space="preserve">About the Access to Medicine Index: </w:t>
      </w:r>
      <w:r w:rsidRPr="00924829">
        <w:rPr>
          <w:rFonts w:cstheme="majorHAnsi"/>
          <w:color w:val="1A1A1A"/>
          <w:sz w:val="22"/>
          <w:szCs w:val="22"/>
        </w:rPr>
        <w:t>The Access to Medicine Index analyses 20 of the largest research-based pharmaceutical companies with products for high-burden diseases in low- and middle-income countries. It ranks them on their efforts to improve access to medicine in seven areas of corporate behaviour and identifies best practices, highlights where progress is being made and uncovers where critical action is still required. The Index is endorsed by more than 8</w:t>
      </w:r>
      <w:r>
        <w:rPr>
          <w:rFonts w:cstheme="majorHAnsi"/>
          <w:color w:val="1A1A1A"/>
          <w:sz w:val="22"/>
          <w:szCs w:val="22"/>
        </w:rPr>
        <w:t>0</w:t>
      </w:r>
      <w:r w:rsidRPr="00924829">
        <w:rPr>
          <w:rFonts w:cstheme="majorHAnsi"/>
          <w:color w:val="1A1A1A"/>
          <w:sz w:val="22"/>
          <w:szCs w:val="22"/>
        </w:rPr>
        <w:t xml:space="preserve"> investors, collectively managing assets worth more than USD 1</w:t>
      </w:r>
      <w:r>
        <w:rPr>
          <w:rFonts w:cstheme="majorHAnsi"/>
          <w:color w:val="1A1A1A"/>
          <w:sz w:val="22"/>
          <w:szCs w:val="22"/>
        </w:rPr>
        <w:t xml:space="preserve">1 </w:t>
      </w:r>
      <w:r w:rsidRPr="00924829">
        <w:rPr>
          <w:rFonts w:cstheme="majorHAnsi"/>
          <w:color w:val="1A1A1A"/>
          <w:sz w:val="22"/>
          <w:szCs w:val="22"/>
        </w:rPr>
        <w:t>trillion. It is published every two years by the Access to Medicine Foundation, an independent non-profit organisation funded by the UK Government (UK AID), the Dutch Ministry of Foreign Affairs, and the Dutch Ministry of Health, Welfare and Sport and the Bill &amp; Melinda Gates Foundation.</w:t>
      </w:r>
      <w:r w:rsidRPr="00924829">
        <w:rPr>
          <w:rFonts w:cstheme="majorHAnsi"/>
          <w:color w:val="535353"/>
          <w:sz w:val="22"/>
          <w:szCs w:val="22"/>
        </w:rPr>
        <w:t>   </w:t>
      </w:r>
    </w:p>
    <w:p w:rsidR="00873E92" w:rsidRPr="00924829" w:rsidRDefault="00873E92" w:rsidP="00873E92">
      <w:pPr>
        <w:widowControl w:val="0"/>
        <w:autoSpaceDE w:val="0"/>
        <w:autoSpaceDN w:val="0"/>
        <w:adjustRightInd w:val="0"/>
        <w:outlineLvl w:val="0"/>
        <w:rPr>
          <w:rFonts w:cstheme="majorHAnsi"/>
          <w:b/>
          <w:bCs/>
          <w:color w:val="1A1A1A"/>
          <w:sz w:val="22"/>
          <w:szCs w:val="22"/>
        </w:rPr>
      </w:pPr>
    </w:p>
    <w:p w:rsidR="00873E92" w:rsidRPr="00924829" w:rsidRDefault="00873E92" w:rsidP="00873E92">
      <w:pPr>
        <w:rPr>
          <w:rFonts w:cstheme="majorHAnsi"/>
          <w:color w:val="1A1A1A"/>
          <w:sz w:val="22"/>
          <w:szCs w:val="22"/>
        </w:rPr>
      </w:pPr>
      <w:r w:rsidRPr="00924829">
        <w:rPr>
          <w:rFonts w:cstheme="majorHAnsi"/>
          <w:b/>
          <w:color w:val="1A1A1A"/>
          <w:sz w:val="22"/>
          <w:szCs w:val="22"/>
        </w:rPr>
        <w:t>For more information, contact</w:t>
      </w:r>
      <w:r w:rsidRPr="00924829">
        <w:rPr>
          <w:rFonts w:cstheme="majorHAnsi"/>
          <w:color w:val="1A1A1A"/>
          <w:sz w:val="22"/>
          <w:szCs w:val="22"/>
        </w:rPr>
        <w:t>:</w:t>
      </w:r>
    </w:p>
    <w:p w:rsidR="00873E92" w:rsidRPr="00924829" w:rsidRDefault="00873E92" w:rsidP="00873E92">
      <w:pPr>
        <w:rPr>
          <w:rFonts w:cstheme="majorHAnsi"/>
          <w:color w:val="1A1A1A"/>
          <w:sz w:val="22"/>
          <w:szCs w:val="22"/>
        </w:rPr>
      </w:pPr>
      <w:r w:rsidRPr="00924829">
        <w:rPr>
          <w:rFonts w:cstheme="majorHAnsi"/>
          <w:color w:val="1A1A1A"/>
          <w:sz w:val="22"/>
          <w:szCs w:val="22"/>
        </w:rPr>
        <w:t>Suzanne Wolf</w:t>
      </w:r>
      <w:r>
        <w:rPr>
          <w:rFonts w:cstheme="majorHAnsi"/>
          <w:color w:val="1A1A1A"/>
          <w:sz w:val="22"/>
          <w:szCs w:val="22"/>
        </w:rPr>
        <w:t>, Amsterdam, The Netherlands</w:t>
      </w:r>
    </w:p>
    <w:p w:rsidR="00873E92" w:rsidRPr="00924829" w:rsidRDefault="00873E92" w:rsidP="00873E92">
      <w:pPr>
        <w:rPr>
          <w:rFonts w:cstheme="majorHAnsi"/>
          <w:color w:val="1A1A1A"/>
          <w:sz w:val="22"/>
          <w:szCs w:val="22"/>
        </w:rPr>
      </w:pPr>
      <w:r w:rsidRPr="00924829">
        <w:rPr>
          <w:rFonts w:cstheme="majorHAnsi"/>
          <w:color w:val="1A1A1A"/>
          <w:sz w:val="22"/>
          <w:szCs w:val="22"/>
        </w:rPr>
        <w:t>Tel: + 31 6 29 40 40 90 or +31 20 215 3535</w:t>
      </w:r>
    </w:p>
    <w:p w:rsidR="00873E92" w:rsidRPr="00924829" w:rsidRDefault="00873E92" w:rsidP="00873E92">
      <w:pPr>
        <w:rPr>
          <w:rFonts w:cstheme="majorHAnsi"/>
          <w:color w:val="1A1A1A"/>
          <w:sz w:val="22"/>
          <w:szCs w:val="22"/>
        </w:rPr>
      </w:pPr>
      <w:r w:rsidRPr="00924829">
        <w:rPr>
          <w:rFonts w:cstheme="majorHAnsi"/>
          <w:color w:val="1A1A1A"/>
          <w:sz w:val="22"/>
          <w:szCs w:val="22"/>
        </w:rPr>
        <w:t xml:space="preserve">Email: </w:t>
      </w:r>
      <w:r w:rsidRPr="00924829">
        <w:rPr>
          <w:rFonts w:cstheme="majorHAnsi"/>
          <w:color w:val="2F5496" w:themeColor="accent1" w:themeShade="BF"/>
          <w:sz w:val="22"/>
          <w:szCs w:val="22"/>
          <w:u w:val="single"/>
        </w:rPr>
        <w:t>swolf@accesstomedicinefoundation.org</w:t>
      </w:r>
      <w:r w:rsidRPr="00924829">
        <w:rPr>
          <w:rFonts w:cstheme="majorHAnsi"/>
          <w:color w:val="1A1A1A"/>
          <w:sz w:val="22"/>
          <w:szCs w:val="22"/>
        </w:rPr>
        <w:t xml:space="preserve"> </w:t>
      </w:r>
    </w:p>
    <w:p w:rsidR="00873E92" w:rsidRPr="00924829" w:rsidRDefault="00873E92" w:rsidP="00873E92">
      <w:pPr>
        <w:rPr>
          <w:rFonts w:cstheme="majorHAnsi"/>
          <w:color w:val="1A1A1A"/>
          <w:sz w:val="28"/>
          <w:szCs w:val="28"/>
        </w:rPr>
      </w:pPr>
      <w:r w:rsidRPr="00924829">
        <w:rPr>
          <w:rFonts w:cstheme="majorHAnsi"/>
          <w:color w:val="1A1A1A"/>
          <w:sz w:val="22"/>
          <w:szCs w:val="22"/>
        </w:rPr>
        <w:t xml:space="preserve">Website: </w:t>
      </w:r>
      <w:hyperlink r:id="rId7" w:history="1">
        <w:r w:rsidRPr="00924829">
          <w:rPr>
            <w:rStyle w:val="Hyperlink"/>
            <w:rFonts w:cstheme="majorHAnsi"/>
            <w:sz w:val="22"/>
            <w:szCs w:val="22"/>
          </w:rPr>
          <w:t>www.accesstomedicinefoundation.org</w:t>
        </w:r>
      </w:hyperlink>
    </w:p>
    <w:p w:rsidR="00873E92" w:rsidRPr="00924829" w:rsidRDefault="00873E92" w:rsidP="00873E92">
      <w:pPr>
        <w:rPr>
          <w:rFonts w:cstheme="majorHAnsi"/>
          <w:bCs/>
          <w:color w:val="000000"/>
          <w:sz w:val="22"/>
          <w:szCs w:val="22"/>
          <w:shd w:val="clear" w:color="auto" w:fill="FFFFFF"/>
        </w:rPr>
      </w:pPr>
    </w:p>
    <w:p w:rsidR="00257477" w:rsidRDefault="00257477"/>
    <w:sectPr w:rsidR="00257477" w:rsidSect="009B1914">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2433">
      <w:r>
        <w:separator/>
      </w:r>
    </w:p>
  </w:endnote>
  <w:endnote w:type="continuationSeparator" w:id="0">
    <w:p w:rsidR="00000000" w:rsidRDefault="0076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2433">
      <w:r>
        <w:separator/>
      </w:r>
    </w:p>
  </w:footnote>
  <w:footnote w:type="continuationSeparator" w:id="0">
    <w:p w:rsidR="00000000" w:rsidRDefault="007624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C3" w:rsidRDefault="006A054F" w:rsidP="00ED0E0E">
    <w:pPr>
      <w:pStyle w:val="Header"/>
      <w:jc w:val="center"/>
      <w:rPr>
        <w:color w:val="FF0000"/>
        <w:sz w:val="18"/>
        <w:szCs w:val="18"/>
      </w:rPr>
    </w:pPr>
    <w:r>
      <w:rPr>
        <w:color w:val="FF0000"/>
        <w:sz w:val="18"/>
        <w:szCs w:val="18"/>
      </w:rPr>
      <w:t>- FOR IMMEDIATE RELEASE -</w:t>
    </w:r>
  </w:p>
  <w:p w:rsidR="00AC08C3" w:rsidRDefault="00762433" w:rsidP="0082365D">
    <w:pPr>
      <w:pStyle w:val="Header"/>
      <w:jc w:val="center"/>
      <w:rPr>
        <w:color w:val="FF0000"/>
        <w:sz w:val="18"/>
        <w:szCs w:val="18"/>
      </w:rPr>
    </w:pPr>
  </w:p>
  <w:p w:rsidR="00AC08C3" w:rsidRPr="00134AD1" w:rsidRDefault="006A054F" w:rsidP="0082365D">
    <w:pPr>
      <w:pStyle w:val="Header"/>
      <w:jc w:val="center"/>
      <w:rPr>
        <w:b/>
        <w:color w:val="FF0000"/>
        <w:sz w:val="22"/>
        <w:szCs w:val="22"/>
      </w:rPr>
    </w:pPr>
    <w:r w:rsidRPr="00134AD1">
      <w:rPr>
        <w:b/>
        <w:sz w:val="22"/>
        <w:szCs w:val="22"/>
      </w:rPr>
      <w:t xml:space="preserve">NEWS RELEASE  </w:t>
    </w:r>
  </w:p>
  <w:p w:rsidR="00AC08C3" w:rsidRDefault="007624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F3B0B"/>
    <w:multiLevelType w:val="hybridMultilevel"/>
    <w:tmpl w:val="9C90A750"/>
    <w:lvl w:ilvl="0" w:tplc="8312BEC6">
      <w:numFmt w:val="bullet"/>
      <w:lvlText w:val="-"/>
      <w:lvlJc w:val="left"/>
      <w:pPr>
        <w:ind w:left="720" w:hanging="360"/>
      </w:pPr>
      <w:rPr>
        <w:rFonts w:ascii="Arial" w:eastAsia="Cambr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92"/>
    <w:rsid w:val="0018195E"/>
    <w:rsid w:val="00257477"/>
    <w:rsid w:val="006A054F"/>
    <w:rsid w:val="006F2161"/>
    <w:rsid w:val="00762433"/>
    <w:rsid w:val="008327DF"/>
    <w:rsid w:val="00873E92"/>
    <w:rsid w:val="00B73C0C"/>
    <w:rsid w:val="00B91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A14971C3-6E94-5A4D-9888-417BB124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161"/>
    <w:rPr>
      <w:rFonts w:asciiTheme="majorHAnsi"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E92"/>
    <w:pPr>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semiHidden/>
    <w:unhideWhenUsed/>
    <w:rsid w:val="00873E92"/>
    <w:rPr>
      <w:color w:val="0000FF"/>
      <w:u w:val="single"/>
    </w:rPr>
  </w:style>
  <w:style w:type="paragraph" w:styleId="Header">
    <w:name w:val="header"/>
    <w:basedOn w:val="Normal"/>
    <w:link w:val="HeaderChar"/>
    <w:uiPriority w:val="99"/>
    <w:unhideWhenUsed/>
    <w:rsid w:val="00873E92"/>
    <w:pPr>
      <w:tabs>
        <w:tab w:val="center" w:pos="4536"/>
        <w:tab w:val="right" w:pos="9072"/>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73E92"/>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cesstomedicine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dcogan@accesstomedicinefoundation.org</dc:creator>
  <cp:keywords/>
  <dc:description/>
  <cp:lastModifiedBy>Mandip</cp:lastModifiedBy>
  <cp:revision>2</cp:revision>
  <dcterms:created xsi:type="dcterms:W3CDTF">2018-11-29T08:34:00Z</dcterms:created>
  <dcterms:modified xsi:type="dcterms:W3CDTF">2018-11-29T08:34:00Z</dcterms:modified>
</cp:coreProperties>
</file>